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1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1842"/>
        <w:gridCol w:w="3727"/>
        <w:gridCol w:w="2508"/>
        <w:gridCol w:w="1314"/>
        <w:gridCol w:w="1381"/>
        <w:gridCol w:w="41"/>
      </w:tblGrid>
      <w:tr w:rsidR="003254E8" w:rsidRPr="00525A5E" w:rsidTr="005A4A76">
        <w:trPr>
          <w:gridBefore w:val="1"/>
          <w:gridAfter w:val="1"/>
          <w:wBefore w:w="78" w:type="dxa"/>
          <w:wAfter w:w="41" w:type="dxa"/>
          <w:trHeight w:val="276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25A5E" w:rsidRPr="00525A5E" w:rsidRDefault="003254E8" w:rsidP="005A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>Отчет о промежуточных результатах реализации программы развития</w:t>
            </w:r>
          </w:p>
          <w:p w:rsidR="003254E8" w:rsidRPr="00525A5E" w:rsidRDefault="003254E8" w:rsidP="005A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25A5E">
              <w:rPr>
                <w:rFonts w:ascii="Times New Roman" w:eastAsia="Calibri" w:hAnsi="Times New Roman" w:cs="Times New Roman"/>
              </w:rPr>
              <w:t>за  2021</w:t>
            </w:r>
            <w:proofErr w:type="gramEnd"/>
            <w:r w:rsidRPr="00525A5E">
              <w:rPr>
                <w:rFonts w:ascii="Times New Roman" w:eastAsia="Calibri" w:hAnsi="Times New Roman" w:cs="Times New Roman"/>
              </w:rPr>
              <w:t xml:space="preserve"> г</w:t>
            </w:r>
          </w:p>
          <w:p w:rsidR="005A4A76" w:rsidRPr="00525A5E" w:rsidRDefault="005A4A76" w:rsidP="005A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5A5E" w:rsidRPr="00525A5E" w:rsidTr="00B24165">
        <w:trPr>
          <w:gridBefore w:val="1"/>
          <w:gridAfter w:val="1"/>
          <w:wBefore w:w="78" w:type="dxa"/>
          <w:wAfter w:w="41" w:type="dxa"/>
          <w:trHeight w:val="759"/>
        </w:trPr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>Показатели программы и их значения по годам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>Показатель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>Запланированный показатель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>Фактический показатель</w:t>
            </w:r>
          </w:p>
        </w:tc>
      </w:tr>
      <w:tr w:rsidR="00525A5E" w:rsidRPr="00525A5E" w:rsidTr="005A4A76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1. </w:t>
            </w:r>
            <w:r w:rsidRPr="00525A5E">
              <w:rPr>
                <w:rFonts w:ascii="Times New Roman" w:eastAsia="Calibri" w:hAnsi="Times New Roman" w:cs="Times New Roman"/>
              </w:rPr>
              <w:t>Доля обучающихся, по программам среднего профессионального образования, прошедших аттестацию с использованием механизма демонстрационного экзамена (%)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8</w:t>
            </w:r>
          </w:p>
        </w:tc>
      </w:tr>
      <w:tr w:rsidR="00525A5E" w:rsidRPr="00525A5E" w:rsidTr="005A4A76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2.Число мастерских, оснащённых современной материально- технической базой по компетенциям приоритетным для региона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25A5E" w:rsidRPr="00525A5E" w:rsidTr="005A4A76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 xml:space="preserve">3. Количество внедренных практико-ориентированных и гибких образовательных программ профессионального </w:t>
            </w:r>
            <w:proofErr w:type="spellStart"/>
            <w:r w:rsidRPr="00525A5E">
              <w:rPr>
                <w:rFonts w:ascii="Times New Roman" w:eastAsia="Arial Unicode MS" w:hAnsi="Times New Roman" w:cs="Times New Roman"/>
                <w:u w:color="000000"/>
              </w:rPr>
              <w:t>обученияв</w:t>
            </w:r>
            <w:proofErr w:type="spellEnd"/>
            <w:r w:rsidRPr="00525A5E">
              <w:rPr>
                <w:rFonts w:ascii="Times New Roman" w:eastAsia="Arial Unicode MS" w:hAnsi="Times New Roman" w:cs="Times New Roman"/>
                <w:u w:color="000000"/>
              </w:rPr>
              <w:t xml:space="preserve"> том числе по наиболее востребованным и перспективным профессиям и специальностям, соответствующим стандартам </w:t>
            </w:r>
            <w:proofErr w:type="spellStart"/>
            <w:r w:rsidRPr="00525A5E">
              <w:rPr>
                <w:rFonts w:ascii="Times New Roman" w:eastAsia="Arial Unicode MS" w:hAnsi="Times New Roman" w:cs="Times New Roman"/>
                <w:u w:color="000000"/>
              </w:rPr>
              <w:t>Ворлдскиллс</w:t>
            </w:r>
            <w:proofErr w:type="spellEnd"/>
            <w:r w:rsidRPr="00525A5E">
              <w:rPr>
                <w:rFonts w:ascii="Times New Roman" w:eastAsia="Arial Unicode MS" w:hAnsi="Times New Roman" w:cs="Times New Roman"/>
                <w:u w:color="000000"/>
              </w:rPr>
              <w:t>, с учетом продолжительности программ не более 6 месяцев (ед.)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0</w:t>
            </w:r>
          </w:p>
        </w:tc>
      </w:tr>
      <w:tr w:rsidR="00525A5E" w:rsidRPr="00525A5E" w:rsidTr="005A4A76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>4.Доля обучающихся осваивающих образовательные программы СПО с использованием электронного обучения и дистанционных технологий (%)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2</w:t>
            </w:r>
          </w:p>
        </w:tc>
      </w:tr>
      <w:tr w:rsidR="00525A5E" w:rsidRPr="00525A5E" w:rsidTr="005A4A76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>5. Количество договоров о реализации сетевой формы образовательных программ (</w:t>
            </w:r>
            <w:proofErr w:type="spellStart"/>
            <w:r w:rsidRPr="00525A5E">
              <w:rPr>
                <w:rFonts w:ascii="Times New Roman" w:eastAsia="Arial Unicode MS" w:hAnsi="Times New Roman" w:cs="Times New Roman"/>
                <w:u w:color="000000"/>
              </w:rPr>
              <w:t>ед</w:t>
            </w:r>
            <w:proofErr w:type="spellEnd"/>
            <w:r w:rsidRPr="00525A5E">
              <w:rPr>
                <w:rFonts w:ascii="Times New Roman" w:eastAsia="Arial Unicode MS" w:hAnsi="Times New Roman" w:cs="Times New Roman"/>
                <w:u w:color="000000"/>
              </w:rPr>
              <w:t>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7</w:t>
            </w:r>
          </w:p>
        </w:tc>
      </w:tr>
      <w:tr w:rsidR="00525A5E" w:rsidRPr="00525A5E" w:rsidTr="005A4A76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>6.Доля обученных экспертов для проведения демонстрационного экзамена (%)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50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2</w:t>
            </w:r>
          </w:p>
        </w:tc>
      </w:tr>
      <w:tr w:rsidR="00525A5E" w:rsidRPr="00525A5E" w:rsidTr="005A4A76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>7.Доля педагогических работников прошедших  повышение квалификации  по вопросам развития СПО, в том числе по профессиям входящим в ТОП-50 в течении последних 3-х лет (%)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50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70</w:t>
            </w:r>
          </w:p>
        </w:tc>
      </w:tr>
      <w:tr w:rsidR="00525A5E" w:rsidRPr="00525A5E" w:rsidTr="00B24165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>8.</w:t>
            </w:r>
            <w:r w:rsidRPr="00525A5E">
              <w:rPr>
                <w:rFonts w:ascii="Times New Roman" w:hAnsi="Times New Roman" w:cs="Times New Roman"/>
              </w:rPr>
              <w:t xml:space="preserve">Доля студентов </w:t>
            </w:r>
            <w:r w:rsidRPr="00525A5E">
              <w:rPr>
                <w:rFonts w:ascii="Times New Roman" w:eastAsia="Arial Unicode MS" w:hAnsi="Times New Roman" w:cs="Times New Roman"/>
                <w:u w:color="000000"/>
              </w:rPr>
              <w:t>обучающихся  по программам с элементами дуального обучения (%)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60</w:t>
            </w:r>
          </w:p>
        </w:tc>
      </w:tr>
      <w:tr w:rsidR="00525A5E" w:rsidRPr="00525A5E" w:rsidTr="00B24165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>9.Доля внебюджетных средств по отношению к бюджетному финансированию(%)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30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4</w:t>
            </w:r>
          </w:p>
        </w:tc>
      </w:tr>
      <w:tr w:rsidR="00525A5E" w:rsidRPr="00525A5E" w:rsidTr="00B24165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>10.Доля обучающихся вовлечённых в мероприятия патриотической направленности (%)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25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38</w:t>
            </w:r>
          </w:p>
        </w:tc>
      </w:tr>
      <w:tr w:rsidR="00525A5E" w:rsidRPr="00525A5E" w:rsidTr="00B24165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>11.Доля обучающихся вовлечённых во внеурочную, кружковую деятельность%)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75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35</w:t>
            </w:r>
          </w:p>
        </w:tc>
      </w:tr>
      <w:tr w:rsidR="00525A5E" w:rsidRPr="00525A5E" w:rsidTr="00525A5E">
        <w:trPr>
          <w:gridBefore w:val="1"/>
          <w:gridAfter w:val="1"/>
          <w:wBefore w:w="78" w:type="dxa"/>
          <w:wAfter w:w="41" w:type="dxa"/>
        </w:trPr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u w:color="000000"/>
              </w:rPr>
              <w:t xml:space="preserve">12.Доля обучающихся занимающихся волонтёрской деятельностью. 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A5E" w:rsidRPr="00525A5E" w:rsidRDefault="00525A5E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Arial Unicode MS" w:hAnsi="Times New Roman" w:cs="Times New Roman"/>
                <w:bCs/>
                <w:u w:color="000000"/>
              </w:rPr>
              <w:t>80</w:t>
            </w:r>
          </w:p>
        </w:tc>
      </w:tr>
      <w:tr w:rsidR="005A4A76" w:rsidRPr="00525A5E" w:rsidTr="00525A5E">
        <w:trPr>
          <w:gridBefore w:val="1"/>
          <w:gridAfter w:val="1"/>
          <w:wBefore w:w="78" w:type="dxa"/>
          <w:wAfter w:w="41" w:type="dxa"/>
        </w:trPr>
        <w:tc>
          <w:tcPr>
            <w:tcW w:w="1077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A5E" w:rsidRDefault="00525A5E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5A5E">
              <w:rPr>
                <w:rFonts w:ascii="Times New Roman" w:eastAsia="Calibri" w:hAnsi="Times New Roman" w:cs="Times New Roman"/>
              </w:rPr>
              <w:t xml:space="preserve">Анализ состояния КГБПОУ «Солонешенский ЛПО» </w:t>
            </w:r>
            <w:proofErr w:type="gramStart"/>
            <w:r w:rsidRPr="00525A5E">
              <w:rPr>
                <w:rFonts w:ascii="Times New Roman" w:eastAsia="Calibri" w:hAnsi="Times New Roman" w:cs="Times New Roman"/>
              </w:rPr>
              <w:t xml:space="preserve">по </w:t>
            </w:r>
            <w:r w:rsidR="00525A5E" w:rsidRPr="00525A5E">
              <w:rPr>
                <w:rFonts w:ascii="Times New Roman" w:eastAsia="Calibri" w:hAnsi="Times New Roman" w:cs="Times New Roman"/>
              </w:rPr>
              <w:t>направлением</w:t>
            </w:r>
            <w:proofErr w:type="gramEnd"/>
            <w:r w:rsidRPr="00525A5E">
              <w:rPr>
                <w:rFonts w:ascii="Times New Roman" w:eastAsia="Calibri" w:hAnsi="Times New Roman" w:cs="Times New Roman"/>
              </w:rPr>
              <w:t xml:space="preserve"> развития</w:t>
            </w:r>
          </w:p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</w:p>
        </w:tc>
      </w:tr>
      <w:tr w:rsidR="005A4A76" w:rsidRPr="00525A5E" w:rsidTr="005A4A76">
        <w:tc>
          <w:tcPr>
            <w:tcW w:w="5647" w:type="dxa"/>
            <w:gridSpan w:val="3"/>
            <w:shd w:val="clear" w:color="auto" w:fill="auto"/>
            <w:vAlign w:val="center"/>
          </w:tcPr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5A5E">
              <w:rPr>
                <w:rFonts w:ascii="Times New Roman" w:eastAsia="Calibri" w:hAnsi="Times New Roman" w:cs="Times New Roman"/>
                <w:lang w:eastAsia="ru-RU"/>
              </w:rPr>
              <w:t>Наименование проекта/мероприятия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u w:color="000000"/>
              </w:rPr>
            </w:pPr>
            <w:r w:rsidRPr="00525A5E">
              <w:rPr>
                <w:rFonts w:ascii="Times New Roman" w:eastAsia="Calibri" w:hAnsi="Times New Roman" w:cs="Times New Roman"/>
                <w:lang w:eastAsia="ru-RU"/>
              </w:rPr>
              <w:t>Форма реализации</w:t>
            </w:r>
          </w:p>
        </w:tc>
      </w:tr>
      <w:tr w:rsidR="005A4A76" w:rsidRPr="00525A5E" w:rsidTr="005A4A76">
        <w:tc>
          <w:tcPr>
            <w:tcW w:w="5647" w:type="dxa"/>
            <w:gridSpan w:val="3"/>
            <w:shd w:val="clear" w:color="auto" w:fill="auto"/>
          </w:tcPr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5A5E">
              <w:rPr>
                <w:rFonts w:ascii="Times New Roman" w:eastAsia="Times New Roman" w:hAnsi="Times New Roman" w:cs="Times New Roman"/>
              </w:rPr>
              <w:t xml:space="preserve">Развитие современной инфраструктуры подготовки высококвалифицированных специалистов и рабочих кадров в соответствии с современными стандартами </w:t>
            </w:r>
            <w:r w:rsidRPr="00525A5E">
              <w:rPr>
                <w:rFonts w:ascii="Times New Roman" w:eastAsia="Times New Roman" w:hAnsi="Times New Roman" w:cs="Times New Roman"/>
              </w:rPr>
              <w:br/>
              <w:t>и передовыми технологиями.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5A4A76" w:rsidRPr="00525A5E" w:rsidRDefault="00525A5E" w:rsidP="00525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Оборудованы </w:t>
            </w:r>
            <w:r w:rsidR="005A4A76" w:rsidRPr="00525A5E">
              <w:rPr>
                <w:rFonts w:ascii="Times New Roman" w:eastAsia="Calibri" w:hAnsi="Times New Roman" w:cs="Times New Roman"/>
                <w:lang w:eastAsia="ru-RU"/>
              </w:rPr>
              <w:t>центр</w:t>
            </w:r>
            <w:r>
              <w:rPr>
                <w:rFonts w:ascii="Times New Roman" w:eastAsia="Calibri" w:hAnsi="Times New Roman" w:cs="Times New Roman"/>
                <w:lang w:eastAsia="ru-RU"/>
              </w:rPr>
              <w:t>ы для</w:t>
            </w:r>
            <w:r w:rsidR="005A4A76" w:rsidRPr="00525A5E">
              <w:rPr>
                <w:rFonts w:ascii="Times New Roman" w:eastAsia="Calibri" w:hAnsi="Times New Roman" w:cs="Times New Roman"/>
                <w:lang w:eastAsia="ru-RU"/>
              </w:rPr>
              <w:t xml:space="preserve"> проведения демонстрационного экзамена по компетенциям</w:t>
            </w:r>
          </w:p>
        </w:tc>
      </w:tr>
      <w:tr w:rsidR="005A4A76" w:rsidRPr="00525A5E" w:rsidTr="00BC325A">
        <w:tc>
          <w:tcPr>
            <w:tcW w:w="5647" w:type="dxa"/>
            <w:gridSpan w:val="3"/>
            <w:shd w:val="clear" w:color="auto" w:fill="auto"/>
          </w:tcPr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u w:color="000000"/>
              </w:rPr>
            </w:pPr>
            <w:r w:rsidRPr="00525A5E">
              <w:rPr>
                <w:rFonts w:ascii="Times New Roman" w:eastAsia="Times New Roman" w:hAnsi="Times New Roman" w:cs="Times New Roman"/>
              </w:rPr>
              <w:t>Формирование кадрового потенциала ПОУ,</w:t>
            </w:r>
            <w:r w:rsidRPr="00525A5E">
              <w:rPr>
                <w:rFonts w:ascii="Times New Roman" w:hAnsi="Times New Roman" w:cs="Times New Roman"/>
                <w:lang w:eastAsia="ru-RU"/>
              </w:rPr>
              <w:t xml:space="preserve"> экспертов демонстрационного экзамена в составе ГЭК,</w:t>
            </w:r>
            <w:r w:rsidRPr="00525A5E">
              <w:rPr>
                <w:rFonts w:ascii="Times New Roman" w:eastAsia="Times New Roman" w:hAnsi="Times New Roman" w:cs="Times New Roman"/>
              </w:rPr>
              <w:t xml:space="preserve"> для проведения обучения и оценки соответствующей квалификации по стандартам </w:t>
            </w:r>
            <w:proofErr w:type="spellStart"/>
            <w:r w:rsidRPr="00525A5E">
              <w:rPr>
                <w:rFonts w:ascii="Times New Roman" w:eastAsia="Times New Roman" w:hAnsi="Times New Roman" w:cs="Times New Roman"/>
              </w:rPr>
              <w:t>Ворлдскиллс</w:t>
            </w:r>
            <w:proofErr w:type="spellEnd"/>
            <w:r w:rsidRPr="00525A5E">
              <w:rPr>
                <w:rFonts w:ascii="Times New Roman" w:eastAsia="Times New Roman" w:hAnsi="Times New Roman" w:cs="Times New Roman"/>
              </w:rPr>
              <w:t>.</w:t>
            </w:r>
          </w:p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5A4A76" w:rsidRPr="00525A5E" w:rsidRDefault="00525A5E" w:rsidP="00525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A4A76" w:rsidRPr="00525A5E">
              <w:rPr>
                <w:rFonts w:ascii="Times New Roman" w:eastAsia="Calibri" w:hAnsi="Times New Roman" w:cs="Times New Roman"/>
                <w:lang w:eastAsia="ru-RU"/>
              </w:rPr>
              <w:t>реподавател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 и </w:t>
            </w:r>
            <w:r w:rsidR="005A4A76" w:rsidRPr="00525A5E">
              <w:rPr>
                <w:rFonts w:ascii="Times New Roman" w:eastAsia="Calibri" w:hAnsi="Times New Roman" w:cs="Times New Roman"/>
                <w:lang w:eastAsia="ru-RU"/>
              </w:rPr>
              <w:t xml:space="preserve">мастеров производственного обучения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своевременно проходят курсы повышения квалификации</w:t>
            </w:r>
          </w:p>
        </w:tc>
      </w:tr>
      <w:tr w:rsidR="005A4A76" w:rsidRPr="00525A5E" w:rsidTr="007246F0">
        <w:tc>
          <w:tcPr>
            <w:tcW w:w="5647" w:type="dxa"/>
            <w:gridSpan w:val="3"/>
            <w:shd w:val="clear" w:color="auto" w:fill="auto"/>
          </w:tcPr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25A5E">
              <w:rPr>
                <w:rFonts w:ascii="Times New Roman" w:eastAsia="Times New Roman" w:hAnsi="Times New Roman" w:cs="Times New Roman"/>
              </w:rPr>
              <w:t xml:space="preserve">Создание современных условий для реализации основных профессиональных образовательных программ СПО, а также программ профессиональной подготовки </w:t>
            </w:r>
            <w:r w:rsidRPr="00525A5E">
              <w:rPr>
                <w:rFonts w:ascii="Times New Roman" w:eastAsia="Times New Roman" w:hAnsi="Times New Roman" w:cs="Times New Roman"/>
              </w:rPr>
              <w:br/>
              <w:t>и дополнительных профессиональных образовательных программ.</w:t>
            </w:r>
          </w:p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5A4A76" w:rsidRPr="00525A5E" w:rsidRDefault="00525A5E" w:rsidP="00525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u w:color="000000"/>
              </w:rPr>
              <w:lastRenderedPageBreak/>
              <w:t>Разработаны</w:t>
            </w:r>
            <w:r w:rsidR="005A4A76" w:rsidRPr="00525A5E">
              <w:rPr>
                <w:rFonts w:ascii="Times New Roman" w:eastAsia="Arial Unicode MS" w:hAnsi="Times New Roman" w:cs="Times New Roman"/>
                <w:u w:color="000000"/>
              </w:rPr>
              <w:t xml:space="preserve">  основны</w:t>
            </w:r>
            <w:r>
              <w:rPr>
                <w:rFonts w:ascii="Times New Roman" w:eastAsia="Arial Unicode MS" w:hAnsi="Times New Roman" w:cs="Times New Roman"/>
                <w:u w:color="000000"/>
              </w:rPr>
              <w:t xml:space="preserve">е образовательные </w:t>
            </w:r>
            <w:r w:rsidR="005A4A76" w:rsidRPr="00525A5E">
              <w:rPr>
                <w:rFonts w:ascii="Times New Roman" w:eastAsia="Arial Unicode MS" w:hAnsi="Times New Roman" w:cs="Times New Roman"/>
                <w:u w:color="000000"/>
              </w:rPr>
              <w:t>программ</w:t>
            </w:r>
            <w:r>
              <w:rPr>
                <w:rFonts w:ascii="Times New Roman" w:eastAsia="Arial Unicode MS" w:hAnsi="Times New Roman" w:cs="Times New Roman"/>
                <w:u w:color="000000"/>
              </w:rPr>
              <w:t>ы</w:t>
            </w:r>
            <w:r w:rsidR="005A4A76" w:rsidRPr="00525A5E">
              <w:rPr>
                <w:rFonts w:ascii="Times New Roman" w:eastAsia="Arial Unicode MS" w:hAnsi="Times New Roman" w:cs="Times New Roman"/>
                <w:u w:color="000000"/>
              </w:rPr>
              <w:t xml:space="preserve"> среднего профессионального образования, профессиональной подготовки и дополнительного профессионального образования с применением электронного и дистанционного обучения</w:t>
            </w:r>
          </w:p>
        </w:tc>
      </w:tr>
      <w:tr w:rsidR="005A4A76" w:rsidRPr="00525A5E" w:rsidTr="00061231">
        <w:tc>
          <w:tcPr>
            <w:tcW w:w="5647" w:type="dxa"/>
            <w:gridSpan w:val="3"/>
            <w:shd w:val="clear" w:color="auto" w:fill="auto"/>
          </w:tcPr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5A5E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конкурентоспособной, социально и профессионально мобильной личности,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5A5E">
              <w:rPr>
                <w:rFonts w:ascii="Times New Roman" w:eastAsia="Calibri" w:hAnsi="Times New Roman" w:cs="Times New Roman"/>
                <w:lang w:eastAsia="ru-RU"/>
              </w:rPr>
              <w:t>Разработка мероприятий по формирование конкурентоспособной, социально и профессионально мобильной личности,</w:t>
            </w:r>
          </w:p>
        </w:tc>
      </w:tr>
      <w:tr w:rsidR="005A4A76" w:rsidRPr="00525A5E" w:rsidTr="006F6236">
        <w:tc>
          <w:tcPr>
            <w:tcW w:w="5647" w:type="dxa"/>
            <w:gridSpan w:val="3"/>
            <w:shd w:val="clear" w:color="auto" w:fill="auto"/>
          </w:tcPr>
          <w:p w:rsidR="005A4A76" w:rsidRPr="00525A5E" w:rsidRDefault="005A4A76" w:rsidP="00F20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25A5E">
              <w:rPr>
                <w:rFonts w:ascii="Times New Roman" w:eastAsia="Calibri" w:hAnsi="Times New Roman" w:cs="Times New Roman"/>
                <w:lang w:eastAsia="ru-RU"/>
              </w:rPr>
              <w:t>Формирование патриотически настроенной личности  с активной жизненной позицией.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5A4A76" w:rsidRPr="00525A5E" w:rsidRDefault="00525A5E" w:rsidP="00525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Проводятся м</w:t>
            </w:r>
            <w:r w:rsidR="005A4A76" w:rsidRPr="00525A5E">
              <w:rPr>
                <w:rFonts w:ascii="Times New Roman" w:eastAsia="Calibri" w:hAnsi="Times New Roman" w:cs="Times New Roman"/>
                <w:lang w:eastAsia="ru-RU"/>
              </w:rPr>
              <w:t>ероприяти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5A4A76" w:rsidRPr="00525A5E">
              <w:rPr>
                <w:rFonts w:ascii="Times New Roman" w:eastAsia="Calibri" w:hAnsi="Times New Roman" w:cs="Times New Roman"/>
                <w:lang w:eastAsia="ru-RU"/>
              </w:rPr>
              <w:t xml:space="preserve"> по патриотическому воспитанию,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студенты привлекаются</w:t>
            </w:r>
            <w:r w:rsidR="005A4A76" w:rsidRPr="00525A5E">
              <w:rPr>
                <w:rFonts w:ascii="Times New Roman" w:eastAsia="Calibri" w:hAnsi="Times New Roman" w:cs="Times New Roman"/>
                <w:lang w:eastAsia="ru-RU"/>
              </w:rPr>
              <w:t xml:space="preserve"> к участию в патриотических и значимых для страны мероприятиях.</w:t>
            </w:r>
          </w:p>
        </w:tc>
      </w:tr>
    </w:tbl>
    <w:p w:rsidR="004B27E2" w:rsidRPr="00525A5E" w:rsidRDefault="003254E8" w:rsidP="003254E8">
      <w:pPr>
        <w:pStyle w:val="a5"/>
        <w:jc w:val="both"/>
        <w:rPr>
          <w:rFonts w:ascii="Times New Roman" w:hAnsi="Times New Roman"/>
          <w:lang w:eastAsia="ru-RU"/>
        </w:rPr>
      </w:pPr>
      <w:bookmarkStart w:id="0" w:name="_GoBack"/>
      <w:bookmarkEnd w:id="0"/>
      <w:r w:rsidRPr="00525A5E">
        <w:rPr>
          <w:rFonts w:ascii="Times New Roman" w:hAnsi="Times New Roman"/>
          <w:lang w:eastAsia="ru-RU"/>
        </w:rPr>
        <w:t>Вывод: заместителям руководителя и ответственным по направлениям деятельности проанализировать выполнение показателей Программы развития, составить план реализации достижения показателей в 2022 году</w:t>
      </w:r>
    </w:p>
    <w:sectPr w:rsidR="004B27E2" w:rsidRPr="00525A5E" w:rsidSect="00F2060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0C"/>
    <w:rsid w:val="003254E8"/>
    <w:rsid w:val="004B27E2"/>
    <w:rsid w:val="00525A5E"/>
    <w:rsid w:val="005A4A76"/>
    <w:rsid w:val="00F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33BF"/>
  <w15:chartTrackingRefBased/>
  <w15:docId w15:val="{88F76593-81B3-4089-B5E9-64D353F6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2060C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F2060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F2060C"/>
  </w:style>
  <w:style w:type="paragraph" w:styleId="a5">
    <w:name w:val="No Spacing"/>
    <w:uiPriority w:val="1"/>
    <w:qFormat/>
    <w:rsid w:val="00F206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2022-12-19T09:06:00Z</dcterms:created>
  <dcterms:modified xsi:type="dcterms:W3CDTF">2022-12-19T09:42:00Z</dcterms:modified>
</cp:coreProperties>
</file>